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DA3" w:rsidRPr="009B3C33" w:rsidRDefault="00603DA3" w:rsidP="005E164B">
      <w:pPr>
        <w:spacing w:before="6"/>
        <w:rPr>
          <w:rFonts w:ascii="Times New Roman" w:eastAsia="Times New Roman" w:hAnsi="Times New Roman" w:cs="Times New Roman"/>
          <w:sz w:val="9"/>
          <w:szCs w:val="9"/>
          <w:lang w:val="de-CH"/>
        </w:rPr>
      </w:pPr>
      <w:bookmarkStart w:id="0" w:name="_GoBack"/>
      <w:bookmarkEnd w:id="0"/>
    </w:p>
    <w:p w:rsidR="00603DA3" w:rsidRPr="009B3C33" w:rsidRDefault="006B1FE5" w:rsidP="005E164B">
      <w:pPr>
        <w:tabs>
          <w:tab w:val="left" w:pos="5073"/>
        </w:tabs>
        <w:spacing w:line="200" w:lineRule="atLeast"/>
        <w:rPr>
          <w:rFonts w:ascii="Times New Roman" w:eastAsia="Times New Roman" w:hAnsi="Times New Roman" w:cs="Times New Roman"/>
          <w:sz w:val="20"/>
          <w:szCs w:val="20"/>
          <w:lang w:val="de-CH"/>
        </w:rPr>
      </w:pPr>
      <w:r w:rsidRPr="009B3C33">
        <w:rPr>
          <w:rFonts w:ascii="Times New Roman"/>
          <w:noProof/>
          <w:sz w:val="20"/>
          <w:lang w:val="de-CH" w:eastAsia="de-CH"/>
        </w:rPr>
        <w:drawing>
          <wp:inline distT="0" distB="0" distL="0" distR="0">
            <wp:extent cx="2465836" cy="6675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65836" cy="667512"/>
                    </a:xfrm>
                    <a:prstGeom prst="rect">
                      <a:avLst/>
                    </a:prstGeom>
                  </pic:spPr>
                </pic:pic>
              </a:graphicData>
            </a:graphic>
          </wp:inline>
        </w:drawing>
      </w:r>
      <w:r w:rsidRPr="009B3C33">
        <w:rPr>
          <w:rFonts w:ascii="Times New Roman"/>
          <w:sz w:val="20"/>
          <w:lang w:val="de-CH"/>
        </w:rPr>
        <w:tab/>
      </w:r>
      <w:r w:rsidRPr="009B3C33">
        <w:rPr>
          <w:noProof/>
          <w:lang w:val="de-CH" w:eastAsia="de-CH"/>
        </w:rPr>
        <w:drawing>
          <wp:inline distT="0" distB="0" distL="0" distR="0">
            <wp:extent cx="2344329" cy="6934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344329" cy="693420"/>
                    </a:xfrm>
                    <a:prstGeom prst="rect">
                      <a:avLst/>
                    </a:prstGeom>
                  </pic:spPr>
                </pic:pic>
              </a:graphicData>
            </a:graphic>
          </wp:inline>
        </w:drawing>
      </w:r>
    </w:p>
    <w:p w:rsidR="00603DA3" w:rsidRPr="009B3C33" w:rsidRDefault="00603DA3" w:rsidP="005E164B">
      <w:pPr>
        <w:rPr>
          <w:rFonts w:ascii="Times New Roman" w:eastAsia="Times New Roman" w:hAnsi="Times New Roman" w:cs="Times New Roman"/>
          <w:sz w:val="20"/>
          <w:szCs w:val="20"/>
          <w:lang w:val="de-CH"/>
        </w:rPr>
      </w:pPr>
    </w:p>
    <w:p w:rsidR="00603DA3" w:rsidRPr="009B3C33" w:rsidRDefault="00603DA3" w:rsidP="005E164B">
      <w:pPr>
        <w:rPr>
          <w:rFonts w:ascii="Times New Roman" w:eastAsia="Times New Roman" w:hAnsi="Times New Roman" w:cs="Times New Roman"/>
          <w:sz w:val="20"/>
          <w:szCs w:val="20"/>
          <w:lang w:val="de-CH"/>
        </w:rPr>
      </w:pPr>
    </w:p>
    <w:p w:rsidR="00603DA3" w:rsidRPr="009B3C33" w:rsidRDefault="00603DA3" w:rsidP="005E164B">
      <w:pPr>
        <w:rPr>
          <w:rFonts w:ascii="Times New Roman" w:eastAsia="Times New Roman" w:hAnsi="Times New Roman" w:cs="Times New Roman"/>
          <w:sz w:val="20"/>
          <w:szCs w:val="20"/>
          <w:lang w:val="de-CH"/>
        </w:rPr>
      </w:pPr>
    </w:p>
    <w:p w:rsidR="00603DA3" w:rsidRPr="009B3C33" w:rsidRDefault="006B1FE5" w:rsidP="005E164B">
      <w:pPr>
        <w:spacing w:before="189"/>
        <w:jc w:val="center"/>
        <w:rPr>
          <w:rFonts w:ascii="Calibri" w:eastAsia="Calibri" w:hAnsi="Calibri" w:cs="Calibri"/>
          <w:sz w:val="24"/>
          <w:szCs w:val="24"/>
          <w:lang w:val="de-CH"/>
        </w:rPr>
      </w:pPr>
      <w:r w:rsidRPr="009B3C33">
        <w:rPr>
          <w:rFonts w:ascii="Calibri"/>
          <w:b/>
          <w:sz w:val="24"/>
          <w:lang w:val="de-CH"/>
        </w:rPr>
        <w:t xml:space="preserve">European Registry of Cardiac Arrest TWO </w:t>
      </w:r>
      <w:r w:rsidR="00E821EA" w:rsidRPr="009B3C33">
        <w:rPr>
          <w:rFonts w:ascii="Calibri"/>
          <w:b/>
          <w:sz w:val="24"/>
          <w:lang w:val="de-CH"/>
        </w:rPr>
        <w:t xml:space="preserve">Studie </w:t>
      </w:r>
      <w:r w:rsidRPr="009B3C33">
        <w:rPr>
          <w:rFonts w:ascii="Calibri"/>
          <w:b/>
          <w:sz w:val="24"/>
          <w:lang w:val="de-CH"/>
        </w:rPr>
        <w:t>(EuReCa TWO</w:t>
      </w:r>
      <w:r w:rsidRPr="009B3C33">
        <w:rPr>
          <w:rFonts w:ascii="Calibri"/>
          <w:b/>
          <w:i/>
          <w:sz w:val="24"/>
          <w:lang w:val="de-CH"/>
        </w:rPr>
        <w:t xml:space="preserve"> [</w:t>
      </w:r>
      <w:r w:rsidR="00C05539" w:rsidRPr="009B3C33">
        <w:rPr>
          <w:rFonts w:ascii="Calibri"/>
          <w:b/>
          <w:i/>
          <w:sz w:val="24"/>
          <w:lang w:val="de-CH"/>
        </w:rPr>
        <w:t xml:space="preserve">Europäische Studie zur Versorgung von Reanimationspatienten </w:t>
      </w:r>
      <w:r w:rsidRPr="009B3C33">
        <w:rPr>
          <w:rFonts w:ascii="Calibri"/>
          <w:b/>
          <w:i/>
          <w:sz w:val="24"/>
          <w:lang w:val="de-CH"/>
        </w:rPr>
        <w:t>TWO]</w:t>
      </w:r>
      <w:r w:rsidRPr="009B3C33">
        <w:rPr>
          <w:rFonts w:ascii="Calibri"/>
          <w:b/>
          <w:sz w:val="24"/>
          <w:lang w:val="de-CH"/>
        </w:rPr>
        <w:t>)</w:t>
      </w:r>
    </w:p>
    <w:p w:rsidR="00603DA3" w:rsidRPr="009B3C33" w:rsidRDefault="00603DA3" w:rsidP="005E164B">
      <w:pPr>
        <w:spacing w:before="12"/>
        <w:rPr>
          <w:rFonts w:ascii="Calibri" w:eastAsia="Calibri" w:hAnsi="Calibri" w:cs="Calibri"/>
          <w:b/>
          <w:bCs/>
          <w:sz w:val="23"/>
          <w:szCs w:val="23"/>
          <w:lang w:val="de-CH"/>
        </w:rPr>
      </w:pPr>
    </w:p>
    <w:p w:rsidR="00603DA3" w:rsidRPr="009B3C33" w:rsidRDefault="006B1FE5" w:rsidP="005E164B">
      <w:pPr>
        <w:pStyle w:val="Textkrper"/>
        <w:ind w:left="0" w:right="182"/>
        <w:jc w:val="center"/>
        <w:rPr>
          <w:lang w:val="de-CH"/>
        </w:rPr>
      </w:pPr>
      <w:r w:rsidRPr="009B3C33">
        <w:rPr>
          <w:lang w:val="de-CH"/>
        </w:rPr>
        <w:t xml:space="preserve">Eine internationale, prospektive Multicenter-Studie über drei Monate zu Epidemiologie, Therapie und Verlauf </w:t>
      </w:r>
      <w:r w:rsidR="00C05539" w:rsidRPr="009B3C33">
        <w:rPr>
          <w:lang w:val="de-CH"/>
        </w:rPr>
        <w:t>bei</w:t>
      </w:r>
      <w:r w:rsidRPr="009B3C33">
        <w:rPr>
          <w:lang w:val="de-CH"/>
        </w:rPr>
        <w:t xml:space="preserve"> </w:t>
      </w:r>
      <w:r w:rsidR="0020106E" w:rsidRPr="009B3C33">
        <w:rPr>
          <w:lang w:val="de-CH"/>
        </w:rPr>
        <w:t xml:space="preserve">Patienten mit </w:t>
      </w:r>
      <w:r w:rsidR="00C05539" w:rsidRPr="009B3C33">
        <w:rPr>
          <w:lang w:val="de-CH"/>
        </w:rPr>
        <w:t>au</w:t>
      </w:r>
      <w:r w:rsidR="004550F4" w:rsidRPr="009B3C33">
        <w:rPr>
          <w:lang w:val="de-CH"/>
        </w:rPr>
        <w:t>ss</w:t>
      </w:r>
      <w:r w:rsidR="00C05539" w:rsidRPr="009B3C33">
        <w:rPr>
          <w:lang w:val="de-CH"/>
        </w:rPr>
        <w:t>er</w:t>
      </w:r>
      <w:r w:rsidRPr="009B3C33">
        <w:rPr>
          <w:lang w:val="de-CH"/>
        </w:rPr>
        <w:t xml:space="preserve">klinischem </w:t>
      </w:r>
      <w:r w:rsidR="00C05539" w:rsidRPr="009B3C33">
        <w:rPr>
          <w:lang w:val="de-CH"/>
        </w:rPr>
        <w:t>Herz-</w:t>
      </w:r>
      <w:r w:rsidRPr="009B3C33">
        <w:rPr>
          <w:lang w:val="de-CH"/>
        </w:rPr>
        <w:t>Kreislauf</w:t>
      </w:r>
      <w:r w:rsidR="00955365" w:rsidRPr="009B3C33">
        <w:rPr>
          <w:lang w:val="de-CH"/>
        </w:rPr>
        <w:t>-S</w:t>
      </w:r>
      <w:r w:rsidRPr="009B3C33">
        <w:rPr>
          <w:lang w:val="de-CH"/>
        </w:rPr>
        <w:t>tillstand in Europa</w:t>
      </w:r>
    </w:p>
    <w:p w:rsidR="00603DA3" w:rsidRPr="009B3C33" w:rsidRDefault="00603DA3" w:rsidP="005E164B">
      <w:pPr>
        <w:rPr>
          <w:rFonts w:ascii="Calibri" w:eastAsia="Calibri" w:hAnsi="Calibri" w:cs="Calibri"/>
          <w:sz w:val="24"/>
          <w:szCs w:val="24"/>
          <w:lang w:val="de-CH"/>
        </w:rPr>
      </w:pPr>
    </w:p>
    <w:p w:rsidR="00603DA3" w:rsidRPr="009B3C33" w:rsidRDefault="00603DA3" w:rsidP="005E164B">
      <w:pPr>
        <w:rPr>
          <w:rFonts w:ascii="Calibri" w:eastAsia="Calibri" w:hAnsi="Calibri" w:cs="Calibri"/>
          <w:sz w:val="24"/>
          <w:szCs w:val="24"/>
          <w:lang w:val="de-CH"/>
        </w:rPr>
      </w:pPr>
    </w:p>
    <w:p w:rsidR="00603DA3" w:rsidRPr="009B3C33" w:rsidRDefault="006B1FE5" w:rsidP="005E164B">
      <w:pPr>
        <w:pStyle w:val="Textkrper"/>
        <w:ind w:left="0" w:right="104"/>
        <w:rPr>
          <w:lang w:val="de-CH"/>
        </w:rPr>
      </w:pPr>
      <w:r w:rsidRPr="009B3C33">
        <w:rPr>
          <w:lang w:val="de-CH"/>
        </w:rPr>
        <w:t xml:space="preserve">Im Oktober 2017 startet der European Resuscitation Council (ERC) in Zusammenarbeit mit nationalen Reanimationsregistern und Reanimationsgremien die zweite europaweite Studie zu </w:t>
      </w:r>
      <w:r w:rsidR="00C05539" w:rsidRPr="009B3C33">
        <w:rPr>
          <w:lang w:val="de-CH"/>
        </w:rPr>
        <w:t>Herz-</w:t>
      </w:r>
      <w:r w:rsidRPr="009B3C33">
        <w:rPr>
          <w:lang w:val="de-CH"/>
        </w:rPr>
        <w:t>Kreislauf</w:t>
      </w:r>
      <w:r w:rsidR="00955365" w:rsidRPr="009B3C33">
        <w:rPr>
          <w:lang w:val="de-CH"/>
        </w:rPr>
        <w:t>-S</w:t>
      </w:r>
      <w:r w:rsidRPr="009B3C33">
        <w:rPr>
          <w:lang w:val="de-CH"/>
        </w:rPr>
        <w:t>tillstand</w:t>
      </w:r>
      <w:r w:rsidR="00955365" w:rsidRPr="009B3C33">
        <w:rPr>
          <w:lang w:val="de-CH"/>
        </w:rPr>
        <w:t xml:space="preserve"> au</w:t>
      </w:r>
      <w:r w:rsidR="004550F4" w:rsidRPr="009B3C33">
        <w:rPr>
          <w:lang w:val="de-CH"/>
        </w:rPr>
        <w:t>ss</w:t>
      </w:r>
      <w:r w:rsidR="00955365" w:rsidRPr="009B3C33">
        <w:rPr>
          <w:lang w:val="de-CH"/>
        </w:rPr>
        <w:t>erhalb des Krankenhauses</w:t>
      </w:r>
      <w:r w:rsidRPr="009B3C33">
        <w:rPr>
          <w:lang w:val="de-CH"/>
        </w:rPr>
        <w:t xml:space="preserve"> (out-of-hospital cardiac arrest, OHCA). Der plötzliche OHCA gilt als dritthäufigste Todesursache in Industrieländern. In Europa sind über 350.000 Patienten jährlich betroffen. Und 100.000 könnten gerettet werden, wenn die Reanimation durch Laien, d. h. eine unmittelbare Herzdruckmassage noch vor Eintreffen des Notarztes, europaweit verbessert würde.</w:t>
      </w:r>
    </w:p>
    <w:p w:rsidR="00603DA3" w:rsidRPr="009B3C33" w:rsidRDefault="00603DA3" w:rsidP="005E164B">
      <w:pPr>
        <w:spacing w:before="12"/>
        <w:rPr>
          <w:rFonts w:ascii="Calibri" w:eastAsia="Calibri" w:hAnsi="Calibri" w:cs="Calibri"/>
          <w:sz w:val="23"/>
          <w:szCs w:val="23"/>
          <w:lang w:val="de-CH"/>
        </w:rPr>
      </w:pPr>
    </w:p>
    <w:p w:rsidR="00603DA3" w:rsidRPr="009B3C33" w:rsidRDefault="006B1FE5" w:rsidP="005E164B">
      <w:pPr>
        <w:pStyle w:val="Textkrper"/>
        <w:ind w:left="0" w:right="182"/>
        <w:rPr>
          <w:lang w:val="de-CH"/>
        </w:rPr>
      </w:pPr>
      <w:r w:rsidRPr="009B3C33">
        <w:rPr>
          <w:lang w:val="de-CH"/>
        </w:rPr>
        <w:t xml:space="preserve">Mit der Studie EuReCa TWO soll eine detaillierte Übersicht über Epidemiologie, Laien-Reanimationsraten, Therapie und Krankheitsverlauf bei </w:t>
      </w:r>
      <w:r w:rsidR="00955365" w:rsidRPr="009B3C33">
        <w:rPr>
          <w:lang w:val="de-CH"/>
        </w:rPr>
        <w:t>OHCA-</w:t>
      </w:r>
      <w:r w:rsidRPr="009B3C33">
        <w:rPr>
          <w:lang w:val="de-CH"/>
        </w:rPr>
        <w:t xml:space="preserve">Patienten in Europa erarbeitet werden. Damit wird eine solide Grundlage geschaffen, um viele Menschenleben zu retten. </w:t>
      </w:r>
      <w:r w:rsidR="00955365" w:rsidRPr="009B3C33">
        <w:rPr>
          <w:lang w:val="de-CH"/>
        </w:rPr>
        <w:t>In der</w:t>
      </w:r>
      <w:r w:rsidRPr="009B3C33">
        <w:rPr>
          <w:lang w:val="de-CH"/>
        </w:rPr>
        <w:t xml:space="preserve"> EuReCa ONE-Studie aus dem Jahr 2014 </w:t>
      </w:r>
      <w:r w:rsidR="00955365" w:rsidRPr="009B3C33">
        <w:rPr>
          <w:lang w:val="de-CH"/>
        </w:rPr>
        <w:t xml:space="preserve">wurden in einem Monat </w:t>
      </w:r>
      <w:r w:rsidRPr="009B3C33">
        <w:rPr>
          <w:lang w:val="de-CH"/>
        </w:rPr>
        <w:t>Daten von über 10.000 OHCA-Fällen aus 27 europäischen Ländern</w:t>
      </w:r>
      <w:r w:rsidR="00955365" w:rsidRPr="009B3C33">
        <w:rPr>
          <w:lang w:val="de-CH"/>
        </w:rPr>
        <w:t xml:space="preserve"> erhoben</w:t>
      </w:r>
      <w:r w:rsidRPr="009B3C33">
        <w:rPr>
          <w:lang w:val="de-CH"/>
        </w:rPr>
        <w:t xml:space="preserve">. Die Dauer der EuReCa TWO-Studie wurde auf drei Monate ausgedehnt; in ihrem Fokus steht insbesondere die Reanimation durch Laien, z. B. Schaulustige. Des Weiteren werden </w:t>
      </w:r>
      <w:r w:rsidR="005E164B" w:rsidRPr="009B3C33">
        <w:rPr>
          <w:lang w:val="de-CH"/>
        </w:rPr>
        <w:t xml:space="preserve">Besonderheiten </w:t>
      </w:r>
      <w:r w:rsidRPr="009B3C33">
        <w:rPr>
          <w:lang w:val="de-CH"/>
        </w:rPr>
        <w:t>der notärztlichen Versorgung in jedem der teilnehmenden Länder untersucht.</w:t>
      </w:r>
    </w:p>
    <w:p w:rsidR="00603DA3" w:rsidRPr="009B3C33" w:rsidRDefault="00603DA3" w:rsidP="005E164B">
      <w:pPr>
        <w:spacing w:before="2"/>
        <w:rPr>
          <w:rFonts w:ascii="Calibri" w:eastAsia="Calibri" w:hAnsi="Calibri" w:cs="Calibri"/>
          <w:sz w:val="21"/>
          <w:szCs w:val="21"/>
          <w:lang w:val="de-CH"/>
        </w:rPr>
      </w:pPr>
    </w:p>
    <w:p w:rsidR="00603DA3" w:rsidRPr="009B3C33" w:rsidRDefault="006B1FE5" w:rsidP="005E164B">
      <w:pPr>
        <w:pStyle w:val="Textkrper"/>
        <w:ind w:left="0" w:right="182"/>
        <w:rPr>
          <w:lang w:val="de-CH"/>
        </w:rPr>
      </w:pPr>
      <w:r w:rsidRPr="009B3C33">
        <w:rPr>
          <w:lang w:val="de-CH"/>
        </w:rPr>
        <w:t xml:space="preserve">Die Datenerhebung der EuReCa TWO beginnt am 1. Oktober 2017 und endet am 31. Dezember 2017. Um </w:t>
      </w:r>
      <w:r w:rsidR="005E164B" w:rsidRPr="009B3C33">
        <w:rPr>
          <w:lang w:val="de-CH"/>
        </w:rPr>
        <w:t xml:space="preserve">die </w:t>
      </w:r>
      <w:r w:rsidRPr="009B3C33">
        <w:rPr>
          <w:lang w:val="de-CH"/>
        </w:rPr>
        <w:t xml:space="preserve">Ergebnisse mit anderen internationalen Registern </w:t>
      </w:r>
      <w:r w:rsidR="005E164B" w:rsidRPr="009B3C33">
        <w:rPr>
          <w:lang w:val="de-CH"/>
        </w:rPr>
        <w:t xml:space="preserve">vergleichen </w:t>
      </w:r>
      <w:r w:rsidRPr="009B3C33">
        <w:rPr>
          <w:lang w:val="de-CH"/>
        </w:rPr>
        <w:t>zu können, wird für die Datenerhebung das Utstein-Style-Protokoll</w:t>
      </w:r>
      <w:r w:rsidR="005E164B" w:rsidRPr="009B3C33">
        <w:rPr>
          <w:lang w:val="de-CH"/>
        </w:rPr>
        <w:t xml:space="preserve">, ergänzt </w:t>
      </w:r>
      <w:r w:rsidRPr="009B3C33">
        <w:rPr>
          <w:lang w:val="de-CH"/>
        </w:rPr>
        <w:t>um einige zusätzliche Datenpunkte</w:t>
      </w:r>
      <w:r w:rsidR="005E164B" w:rsidRPr="009B3C33">
        <w:rPr>
          <w:lang w:val="de-CH"/>
        </w:rPr>
        <w:t>, herangezogen</w:t>
      </w:r>
      <w:r w:rsidRPr="009B3C33">
        <w:rPr>
          <w:lang w:val="de-CH"/>
        </w:rPr>
        <w:t>.</w:t>
      </w:r>
    </w:p>
    <w:p w:rsidR="00603DA3" w:rsidRPr="009B3C33" w:rsidRDefault="00603DA3" w:rsidP="005E164B">
      <w:pPr>
        <w:spacing w:before="2"/>
        <w:rPr>
          <w:rFonts w:ascii="Calibri" w:eastAsia="Calibri" w:hAnsi="Calibri" w:cs="Calibri"/>
          <w:sz w:val="24"/>
          <w:szCs w:val="24"/>
          <w:lang w:val="de-CH"/>
        </w:rPr>
      </w:pPr>
    </w:p>
    <w:p w:rsidR="00603DA3" w:rsidRPr="009B3C33" w:rsidRDefault="006B1FE5" w:rsidP="005E164B">
      <w:pPr>
        <w:pStyle w:val="Textkrper"/>
        <w:ind w:left="0" w:right="182"/>
        <w:rPr>
          <w:lang w:val="de-CH"/>
        </w:rPr>
      </w:pPr>
      <w:r w:rsidRPr="009B3C33">
        <w:rPr>
          <w:lang w:val="de-CH"/>
        </w:rPr>
        <w:t xml:space="preserve">Die Studie EuReCa TWO wird durch ein internationales Lenkungskomitee organisiert, das zu diesem Zweck Wissenschaftler gewinnen konnte, die auf dem Gebiet der Reanimationsforschung über umfangreiche Erfahrung verfügen. Leiter des Studienmanagement-Teams ist der </w:t>
      </w:r>
      <w:r w:rsidR="005E164B" w:rsidRPr="009B3C33">
        <w:rPr>
          <w:lang w:val="de-CH"/>
        </w:rPr>
        <w:t>Leitende Prüfarzt</w:t>
      </w:r>
      <w:r w:rsidRPr="009B3C33">
        <w:rPr>
          <w:lang w:val="de-CH"/>
        </w:rPr>
        <w:t xml:space="preserve"> Jan-Thorsten Gräsner, Arzt beim Deutschen Reanimationsregister. Unterstützt wird die Studie durch den ERC und den Direktor für Wissenschaft und Forschung des ERC, Dr. Bernd W. Böttiger, Mitglied des Lenkungskomitees.</w:t>
      </w:r>
    </w:p>
    <w:p w:rsidR="00603DA3" w:rsidRPr="009B3C33" w:rsidRDefault="00603DA3" w:rsidP="005E164B">
      <w:pPr>
        <w:spacing w:before="12"/>
        <w:rPr>
          <w:rFonts w:ascii="Calibri" w:eastAsia="Calibri" w:hAnsi="Calibri" w:cs="Calibri"/>
          <w:sz w:val="23"/>
          <w:szCs w:val="23"/>
          <w:lang w:val="de-CH"/>
        </w:rPr>
      </w:pPr>
    </w:p>
    <w:p w:rsidR="00603DA3" w:rsidRPr="009B3C33" w:rsidRDefault="006B1FE5" w:rsidP="005E164B">
      <w:pPr>
        <w:pStyle w:val="Textkrper"/>
        <w:ind w:left="0"/>
        <w:rPr>
          <w:lang w:val="de-CH"/>
        </w:rPr>
      </w:pPr>
      <w:r w:rsidRPr="009B3C33">
        <w:rPr>
          <w:lang w:val="de-CH"/>
        </w:rPr>
        <w:t>Dr. Jan-Thorsten Gräsner erklärte:</w:t>
      </w:r>
    </w:p>
    <w:p w:rsidR="005E164B" w:rsidRPr="009B3C33" w:rsidRDefault="006B1FE5" w:rsidP="005E164B">
      <w:pPr>
        <w:pStyle w:val="Textkrper"/>
        <w:ind w:left="0" w:right="182"/>
        <w:rPr>
          <w:lang w:val="de-CH"/>
        </w:rPr>
      </w:pPr>
      <w:r w:rsidRPr="009B3C33">
        <w:rPr>
          <w:lang w:val="de-CH"/>
        </w:rPr>
        <w:t>„Wenn wir die Überlebensraten nach OHCA verbessern wollen, müssen wir zu Therapie und Epidemiologie in den einzelnen Ländern Europas möglichst viele Informationen sammeln. Dieses Wissen ermöglicht uns, die Richtlinien für die kardiopulmonale Reanimation in Zukunft neu zu definieren.“</w:t>
      </w:r>
    </w:p>
    <w:p w:rsidR="005E164B" w:rsidRPr="009B3C33" w:rsidRDefault="005E164B" w:rsidP="005E164B">
      <w:pPr>
        <w:pStyle w:val="Textkrper"/>
        <w:ind w:left="0" w:right="182"/>
        <w:rPr>
          <w:lang w:val="de-CH"/>
        </w:rPr>
      </w:pPr>
    </w:p>
    <w:p w:rsidR="005E164B" w:rsidRPr="009B3C33" w:rsidRDefault="00251D32" w:rsidP="005E164B">
      <w:pPr>
        <w:pStyle w:val="Textkrper"/>
        <w:ind w:left="0" w:right="182"/>
        <w:rPr>
          <w:lang w:val="de-CH"/>
        </w:rPr>
      </w:pPr>
      <w:r w:rsidRPr="009B3C33">
        <w:rPr>
          <w:lang w:val="de-CH"/>
        </w:rPr>
        <w:lastRenderedPageBreak/>
        <w:t>E</w:t>
      </w:r>
      <w:r w:rsidR="006B1FE5" w:rsidRPr="009B3C33">
        <w:rPr>
          <w:lang w:val="de-CH"/>
        </w:rPr>
        <w:t>inheitliche Datenerhebung</w:t>
      </w:r>
      <w:r w:rsidRPr="009B3C33">
        <w:rPr>
          <w:lang w:val="de-CH"/>
        </w:rPr>
        <w:t xml:space="preserve"> und</w:t>
      </w:r>
      <w:r w:rsidR="006B1FE5" w:rsidRPr="009B3C33">
        <w:rPr>
          <w:lang w:val="de-CH"/>
        </w:rPr>
        <w:t xml:space="preserve"> Meldeverfahren im Zusammenhang mit Epidemiologie, Management und Verlauf </w:t>
      </w:r>
      <w:r w:rsidRPr="009B3C33">
        <w:rPr>
          <w:lang w:val="de-CH"/>
        </w:rPr>
        <w:t>bei</w:t>
      </w:r>
      <w:r w:rsidR="006B1FE5" w:rsidRPr="009B3C33">
        <w:rPr>
          <w:lang w:val="de-CH"/>
        </w:rPr>
        <w:t xml:space="preserve"> </w:t>
      </w:r>
      <w:r w:rsidRPr="009B3C33">
        <w:rPr>
          <w:lang w:val="de-CH"/>
        </w:rPr>
        <w:t>Herz-</w:t>
      </w:r>
      <w:r w:rsidR="006B1FE5" w:rsidRPr="009B3C33">
        <w:rPr>
          <w:lang w:val="de-CH"/>
        </w:rPr>
        <w:t>Kreislauf</w:t>
      </w:r>
      <w:r w:rsidRPr="009B3C33">
        <w:rPr>
          <w:lang w:val="de-CH"/>
        </w:rPr>
        <w:t>-S</w:t>
      </w:r>
      <w:r w:rsidR="006B1FE5" w:rsidRPr="009B3C33">
        <w:rPr>
          <w:lang w:val="de-CH"/>
        </w:rPr>
        <w:t xml:space="preserve">tillstand liefern unverzichtbare Informationen zur Verbesserung der Therapiequalität von Patienten mit </w:t>
      </w:r>
      <w:r w:rsidR="00064369" w:rsidRPr="009B3C33">
        <w:rPr>
          <w:lang w:val="de-CH"/>
        </w:rPr>
        <w:t>Herz-</w:t>
      </w:r>
      <w:r w:rsidR="006B1FE5" w:rsidRPr="009B3C33">
        <w:rPr>
          <w:lang w:val="de-CH"/>
        </w:rPr>
        <w:t>Kreislauf</w:t>
      </w:r>
      <w:r w:rsidR="00064369" w:rsidRPr="009B3C33">
        <w:rPr>
          <w:lang w:val="de-CH"/>
        </w:rPr>
        <w:t>-S</w:t>
      </w:r>
      <w:r w:rsidR="006B1FE5" w:rsidRPr="009B3C33">
        <w:rPr>
          <w:lang w:val="de-CH"/>
        </w:rPr>
        <w:t>tillstand.</w:t>
      </w:r>
      <w:r w:rsidR="005E164B" w:rsidRPr="009B3C33">
        <w:rPr>
          <w:lang w:val="de-CH"/>
        </w:rPr>
        <w:t xml:space="preserve"> </w:t>
      </w:r>
    </w:p>
    <w:p w:rsidR="005E164B" w:rsidRPr="009B3C33" w:rsidRDefault="005E164B" w:rsidP="005E164B">
      <w:pPr>
        <w:pStyle w:val="Textkrper"/>
        <w:spacing w:before="34"/>
        <w:ind w:left="0" w:right="304"/>
        <w:rPr>
          <w:lang w:val="de-CH"/>
        </w:rPr>
      </w:pPr>
    </w:p>
    <w:p w:rsidR="00603DA3" w:rsidRPr="009B3C33" w:rsidRDefault="006B1FE5" w:rsidP="005E164B">
      <w:pPr>
        <w:pStyle w:val="Textkrper"/>
        <w:spacing w:before="34"/>
        <w:ind w:left="0" w:right="304"/>
        <w:rPr>
          <w:lang w:val="de-CH"/>
        </w:rPr>
      </w:pPr>
      <w:r w:rsidRPr="009B3C33">
        <w:rPr>
          <w:lang w:val="de-CH"/>
        </w:rPr>
        <w:t xml:space="preserve">Damit eine europäische Datenbank mit einheitlichen und verlässlichen Daten eingerichtet werden kann, beschloss der ERC, dass einem European Registry of Cardiac Arrest (EuReCa) hohe Priorität einzuräumen sei. Das EuReCa wurde 2008 mit dem Ziel ins Leben gerufen, eine einheitliche Meldung von Inzidenz, Merkmalen, Interventionen und Krankheitsverlauf </w:t>
      </w:r>
      <w:r w:rsidR="00251D32" w:rsidRPr="009B3C33">
        <w:rPr>
          <w:lang w:val="de-CH"/>
        </w:rPr>
        <w:t>bei</w:t>
      </w:r>
      <w:r w:rsidRPr="009B3C33">
        <w:rPr>
          <w:lang w:val="de-CH"/>
        </w:rPr>
        <w:t xml:space="preserve"> </w:t>
      </w:r>
      <w:r w:rsidR="00251D32" w:rsidRPr="009B3C33">
        <w:rPr>
          <w:lang w:val="de-CH"/>
        </w:rPr>
        <w:t>Herz-</w:t>
      </w:r>
      <w:r w:rsidRPr="009B3C33">
        <w:rPr>
          <w:lang w:val="de-CH"/>
        </w:rPr>
        <w:t>Kreislauf</w:t>
      </w:r>
      <w:r w:rsidR="00251D32" w:rsidRPr="009B3C33">
        <w:rPr>
          <w:lang w:val="de-CH"/>
        </w:rPr>
        <w:t>-S</w:t>
      </w:r>
      <w:r w:rsidRPr="009B3C33">
        <w:rPr>
          <w:lang w:val="de-CH"/>
        </w:rPr>
        <w:t>tillstand gemä</w:t>
      </w:r>
      <w:r w:rsidR="004550F4" w:rsidRPr="009B3C33">
        <w:rPr>
          <w:lang w:val="de-CH"/>
        </w:rPr>
        <w:t>ss</w:t>
      </w:r>
      <w:r w:rsidRPr="009B3C33">
        <w:rPr>
          <w:lang w:val="de-CH"/>
        </w:rPr>
        <w:t xml:space="preserve"> Utstein-Style-Protokoll zu ermöglichen.</w:t>
      </w:r>
    </w:p>
    <w:p w:rsidR="00603DA3" w:rsidRPr="009B3C33" w:rsidRDefault="00603DA3" w:rsidP="00DB19E6">
      <w:pPr>
        <w:spacing w:before="11"/>
        <w:rPr>
          <w:rFonts w:ascii="Calibri" w:eastAsia="Calibri" w:hAnsi="Calibri" w:cs="Calibri"/>
          <w:sz w:val="23"/>
          <w:szCs w:val="23"/>
          <w:lang w:val="de-CH"/>
        </w:rPr>
      </w:pPr>
    </w:p>
    <w:p w:rsidR="00603DA3" w:rsidRPr="009B3C33" w:rsidRDefault="006B1FE5" w:rsidP="00DB19E6">
      <w:pPr>
        <w:pStyle w:val="Textkrper"/>
        <w:ind w:left="0" w:right="304"/>
        <w:rPr>
          <w:rFonts w:cs="Calibri"/>
          <w:lang w:val="de-CH"/>
        </w:rPr>
      </w:pPr>
      <w:r w:rsidRPr="009B3C33">
        <w:rPr>
          <w:lang w:val="de-CH"/>
        </w:rPr>
        <w:t>EuReCa fördert eine Kultur der Zusammenarbeit zwischen Ärzten und Wissenschaftlern und schafft ein Gefühl für die Dringlichkeit bei der Qualitätsverbesserung in Einklang mit den Zielen des ERC: „Menschenleben</w:t>
      </w:r>
      <w:r w:rsidR="00251D32" w:rsidRPr="009B3C33">
        <w:rPr>
          <w:lang w:val="de-CH"/>
        </w:rPr>
        <w:t xml:space="preserve"> retten, indem man </w:t>
      </w:r>
      <w:r w:rsidRPr="009B3C33">
        <w:rPr>
          <w:lang w:val="de-CH"/>
        </w:rPr>
        <w:t>hochwertige</w:t>
      </w:r>
      <w:r w:rsidR="00251D32" w:rsidRPr="009B3C33">
        <w:rPr>
          <w:lang w:val="de-CH"/>
        </w:rPr>
        <w:t xml:space="preserve"> </w:t>
      </w:r>
      <w:r w:rsidRPr="009B3C33">
        <w:rPr>
          <w:lang w:val="de-CH"/>
        </w:rPr>
        <w:t>Reanimationsma</w:t>
      </w:r>
      <w:r w:rsidR="004550F4" w:rsidRPr="009B3C33">
        <w:rPr>
          <w:lang w:val="de-CH"/>
        </w:rPr>
        <w:t>ss</w:t>
      </w:r>
      <w:r w:rsidRPr="009B3C33">
        <w:rPr>
          <w:lang w:val="de-CH"/>
        </w:rPr>
        <w:t>nahmen für jedermann</w:t>
      </w:r>
      <w:r w:rsidR="00251D32" w:rsidRPr="009B3C33">
        <w:rPr>
          <w:lang w:val="de-CH"/>
        </w:rPr>
        <w:t xml:space="preserve"> verfügbar macht</w:t>
      </w:r>
      <w:r w:rsidRPr="009B3C33">
        <w:rPr>
          <w:lang w:val="de-CH"/>
        </w:rPr>
        <w:t>.“</w:t>
      </w:r>
    </w:p>
    <w:p w:rsidR="00603DA3" w:rsidRPr="009B3C33" w:rsidRDefault="006B1FE5" w:rsidP="00DB19E6">
      <w:pPr>
        <w:pStyle w:val="Textkrper"/>
        <w:ind w:left="0" w:right="304"/>
        <w:rPr>
          <w:lang w:val="de-CH"/>
        </w:rPr>
      </w:pPr>
      <w:r w:rsidRPr="009B3C33">
        <w:rPr>
          <w:lang w:val="de-CH"/>
        </w:rPr>
        <w:t xml:space="preserve">Europa ist gekennzeichnet durch eine Vielzahl unterschiedlicher Strukturen und Organisationen für die notärztliche Versorgung. </w:t>
      </w:r>
      <w:r w:rsidR="00251D32" w:rsidRPr="009B3C33">
        <w:rPr>
          <w:lang w:val="de-CH"/>
        </w:rPr>
        <w:t xml:space="preserve">Die </w:t>
      </w:r>
      <w:r w:rsidRPr="009B3C33">
        <w:rPr>
          <w:lang w:val="de-CH"/>
        </w:rPr>
        <w:t xml:space="preserve">Unterschiede zwischen einzelnen Regionen und Ländern </w:t>
      </w:r>
      <w:r w:rsidR="00251D32" w:rsidRPr="009B3C33">
        <w:rPr>
          <w:lang w:val="de-CH"/>
        </w:rPr>
        <w:t>zu verstehen</w:t>
      </w:r>
      <w:r w:rsidR="00DB19E6" w:rsidRPr="009B3C33">
        <w:rPr>
          <w:lang w:val="de-CH"/>
        </w:rPr>
        <w:t>,</w:t>
      </w:r>
      <w:r w:rsidR="00251D32" w:rsidRPr="009B3C33">
        <w:rPr>
          <w:lang w:val="de-CH"/>
        </w:rPr>
        <w:t xml:space="preserve"> </w:t>
      </w:r>
      <w:r w:rsidRPr="009B3C33">
        <w:rPr>
          <w:lang w:val="de-CH"/>
        </w:rPr>
        <w:t>stellt eine wichtige Herausforderung für das EuReCa dar.</w:t>
      </w:r>
    </w:p>
    <w:p w:rsidR="00603DA3" w:rsidRPr="009B3C33" w:rsidRDefault="00603DA3" w:rsidP="005E164B">
      <w:pPr>
        <w:spacing w:before="12"/>
        <w:rPr>
          <w:rFonts w:ascii="Calibri" w:eastAsia="Calibri" w:hAnsi="Calibri" w:cs="Calibri"/>
          <w:sz w:val="23"/>
          <w:szCs w:val="23"/>
          <w:lang w:val="de-CH"/>
        </w:rPr>
      </w:pPr>
    </w:p>
    <w:p w:rsidR="00603DA3" w:rsidRPr="009B3C33" w:rsidRDefault="006B1FE5" w:rsidP="00DB19E6">
      <w:pPr>
        <w:pStyle w:val="Textkrper"/>
        <w:ind w:left="0" w:right="263"/>
        <w:rPr>
          <w:lang w:val="de-CH"/>
        </w:rPr>
      </w:pPr>
      <w:r w:rsidRPr="009B3C33">
        <w:rPr>
          <w:lang w:val="de-CH"/>
        </w:rPr>
        <w:t>EuReCa ist eine gro</w:t>
      </w:r>
      <w:r w:rsidR="004550F4" w:rsidRPr="009B3C33">
        <w:rPr>
          <w:lang w:val="de-CH"/>
        </w:rPr>
        <w:t>ss</w:t>
      </w:r>
      <w:r w:rsidRPr="009B3C33">
        <w:rPr>
          <w:lang w:val="de-CH"/>
        </w:rPr>
        <w:t>e Familie, die derzeit in 29 europäischen Ländern mit einer Bevölkerung von über 175 Millionen Menschen zuhause ist. Jeder Teilnehmer, ob gro</w:t>
      </w:r>
      <w:r w:rsidR="004550F4" w:rsidRPr="009B3C33">
        <w:rPr>
          <w:lang w:val="de-CH"/>
        </w:rPr>
        <w:t>ss</w:t>
      </w:r>
      <w:r w:rsidRPr="009B3C33">
        <w:rPr>
          <w:lang w:val="de-CH"/>
        </w:rPr>
        <w:t xml:space="preserve"> oder klein, ist sich der Bedeutung eines einheitlichen Meldeverfahrens und dessen Wichtigkeit für die Bewertung der Versorgungsqualität bewusst. </w:t>
      </w:r>
      <w:r w:rsidR="00DB19E6" w:rsidRPr="009B3C33">
        <w:rPr>
          <w:lang w:val="de-CH"/>
        </w:rPr>
        <w:t xml:space="preserve">Der Schlüssel zum Erfolg ist, dass jede </w:t>
      </w:r>
      <w:r w:rsidRPr="009B3C33">
        <w:rPr>
          <w:lang w:val="de-CH"/>
        </w:rPr>
        <w:t>teilnehmende Region bei Planung und Organisation spezieller Studien wie EuReCa-ONE und EuReCa-TWO sowie vieler künftiger Studien</w:t>
      </w:r>
      <w:r w:rsidR="00DB19E6" w:rsidRPr="009B3C33">
        <w:rPr>
          <w:lang w:val="de-CH"/>
        </w:rPr>
        <w:t xml:space="preserve"> eine gleichberechtigte Stimme hat.</w:t>
      </w:r>
    </w:p>
    <w:p w:rsidR="00603DA3" w:rsidRPr="009B3C33" w:rsidRDefault="00603DA3" w:rsidP="00DB19E6">
      <w:pPr>
        <w:tabs>
          <w:tab w:val="left" w:pos="5585"/>
        </w:tabs>
        <w:spacing w:before="2"/>
        <w:rPr>
          <w:rFonts w:ascii="Calibri" w:eastAsia="Calibri" w:hAnsi="Calibri" w:cs="Calibri"/>
          <w:sz w:val="24"/>
          <w:szCs w:val="24"/>
          <w:lang w:val="de-CH"/>
        </w:rPr>
      </w:pPr>
    </w:p>
    <w:p w:rsidR="00603DA3" w:rsidRPr="009B3C33" w:rsidRDefault="006B1FE5" w:rsidP="00DB19E6">
      <w:pPr>
        <w:pStyle w:val="Textkrper"/>
        <w:ind w:left="0" w:right="284"/>
        <w:rPr>
          <w:lang w:val="de-CH"/>
        </w:rPr>
      </w:pPr>
      <w:r w:rsidRPr="009B3C33">
        <w:rPr>
          <w:lang w:val="de-CH"/>
        </w:rPr>
        <w:t xml:space="preserve">„Die 29 Teilnehmer von EuReCa machten deutlich, dass eine </w:t>
      </w:r>
      <w:r w:rsidR="00064369" w:rsidRPr="009B3C33">
        <w:rPr>
          <w:lang w:val="de-CH"/>
        </w:rPr>
        <w:t>hohe</w:t>
      </w:r>
      <w:r w:rsidRPr="009B3C33">
        <w:rPr>
          <w:lang w:val="de-CH"/>
        </w:rPr>
        <w:t xml:space="preserve"> Qualität bei der Registrierung von </w:t>
      </w:r>
      <w:r w:rsidR="00DB19E6" w:rsidRPr="009B3C33">
        <w:rPr>
          <w:lang w:val="de-CH"/>
        </w:rPr>
        <w:t>Herz-</w:t>
      </w:r>
      <w:r w:rsidRPr="009B3C33">
        <w:rPr>
          <w:lang w:val="de-CH"/>
        </w:rPr>
        <w:t>Kreislauf</w:t>
      </w:r>
      <w:r w:rsidR="00DB19E6" w:rsidRPr="009B3C33">
        <w:rPr>
          <w:lang w:val="de-CH"/>
        </w:rPr>
        <w:t>-S</w:t>
      </w:r>
      <w:r w:rsidRPr="009B3C33">
        <w:rPr>
          <w:lang w:val="de-CH"/>
        </w:rPr>
        <w:t>tillstand und Reanimation nicht nur machbar ist, sondern auch, dass Benchmarking, Feedback und gegenseitiges Lernen leistungsfähige Mechanismen zur Qualitätssteigerung sind. Wir haben hier einen starken Anreiz für die übrigen europäischen Regionen, sich der EuReCa-Familie anzuschlie</w:t>
      </w:r>
      <w:r w:rsidR="004550F4" w:rsidRPr="009B3C33">
        <w:rPr>
          <w:lang w:val="de-CH"/>
        </w:rPr>
        <w:t>ss</w:t>
      </w:r>
      <w:r w:rsidRPr="009B3C33">
        <w:rPr>
          <w:lang w:val="de-CH"/>
        </w:rPr>
        <w:t>en,“ so Dr. Leo Bossaert, eine</w:t>
      </w:r>
      <w:r w:rsidR="001365BF" w:rsidRPr="009B3C33">
        <w:rPr>
          <w:lang w:val="de-CH"/>
        </w:rPr>
        <w:t>s</w:t>
      </w:r>
      <w:r w:rsidRPr="009B3C33">
        <w:rPr>
          <w:lang w:val="de-CH"/>
        </w:rPr>
        <w:t xml:space="preserve"> der Gründungsmitglieder von ERC und EuReCa.</w:t>
      </w:r>
    </w:p>
    <w:p w:rsidR="00603DA3" w:rsidRPr="009B3C33" w:rsidRDefault="00603DA3" w:rsidP="005E164B">
      <w:pPr>
        <w:spacing w:before="5"/>
        <w:rPr>
          <w:rFonts w:ascii="Calibri" w:eastAsia="Calibri" w:hAnsi="Calibri" w:cs="Calibri"/>
          <w:sz w:val="24"/>
          <w:szCs w:val="24"/>
          <w:lang w:val="de-CH"/>
        </w:rPr>
      </w:pPr>
    </w:p>
    <w:p w:rsidR="00603DA3" w:rsidRPr="009B3C33" w:rsidRDefault="00A05C45" w:rsidP="005E164B">
      <w:pPr>
        <w:spacing w:line="200" w:lineRule="atLeast"/>
        <w:rPr>
          <w:rFonts w:ascii="Calibri" w:eastAsia="Calibri" w:hAnsi="Calibri" w:cs="Calibri"/>
          <w:sz w:val="20"/>
          <w:szCs w:val="20"/>
          <w:lang w:val="de-CH"/>
        </w:rPr>
      </w:pPr>
      <w:r>
        <w:rPr>
          <w:rFonts w:ascii="Calibri" w:hAnsi="Calibri"/>
          <w:noProof/>
          <w:sz w:val="20"/>
          <w:szCs w:val="20"/>
          <w:lang w:val="de-CH" w:eastAsia="de-CH"/>
        </w:rPr>
        <mc:AlternateContent>
          <mc:Choice Requires="wps">
            <w:drawing>
              <wp:inline distT="0" distB="0" distL="0" distR="0">
                <wp:extent cx="5902325" cy="218440"/>
                <wp:effectExtent l="10795" t="7620" r="11430" b="1206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2184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3DA3" w:rsidRDefault="006B1FE5">
                            <w:pPr>
                              <w:spacing w:before="20"/>
                              <w:ind w:left="2464"/>
                              <w:rPr>
                                <w:rFonts w:ascii="Calibri" w:eastAsia="Calibri" w:hAnsi="Calibri" w:cs="Calibri"/>
                                <w:sz w:val="24"/>
                                <w:szCs w:val="24"/>
                              </w:rPr>
                            </w:pPr>
                            <w:r>
                              <w:rPr>
                                <w:rFonts w:ascii="Calibri"/>
                                <w:b/>
                                <w:sz w:val="24"/>
                              </w:rPr>
                              <w:t xml:space="preserve">Weitere Informationen finden Sie unter </w:t>
                            </w:r>
                            <w:hyperlink r:id="rId8">
                              <w:r>
                                <w:rPr>
                                  <w:rFonts w:ascii="Calibri"/>
                                  <w:b/>
                                  <w:color w:val="0462C1"/>
                                  <w:sz w:val="24"/>
                                  <w:u w:val="single" w:color="0462C1"/>
                                </w:rPr>
                                <w:t>www.eureca-two.eu</w:t>
                              </w:r>
                            </w:hyperlink>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4.7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7jegIAAP8EAAAOAAAAZHJzL2Uyb0RvYy54bWysVF1vmzAUfZ+0/2D5PQUSm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" filled="f" strokeweight=".58pt">
                <v:textbox inset="0,0,0,0">
                  <w:txbxContent>
                    <w:p w:rsidR="00603DA3" w:rsidRDefault="006B1FE5">
                      <w:pPr>
                        <w:spacing w:before="20"/>
                        <w:ind w:left="2464"/>
                        <w:rPr>
                          <w:rFonts w:ascii="Calibri" w:eastAsia="Calibri" w:hAnsi="Calibri" w:cs="Calibri"/>
                          <w:sz w:val="24"/>
                          <w:szCs w:val="24"/>
                        </w:rPr>
                      </w:pPr>
                      <w:r>
                        <w:rPr>
                          <w:rFonts w:ascii="Calibri"/>
                          <w:b/>
                          <w:sz w:val="24"/>
                        </w:rPr>
                        <w:t xml:space="preserve">Weitere Informationen finden Sie unter </w:t>
                      </w:r>
                      <w:hyperlink r:id="rId9">
                        <w:r>
                          <w:rPr>
                            <w:rFonts w:ascii="Calibri"/>
                            <w:b/>
                            <w:color w:val="0462C1"/>
                            <w:sz w:val="24"/>
                            <w:u w:val="single" w:color="0462C1"/>
                          </w:rPr>
                          <w:t>www.eureca-two.eu</w:t>
                        </w:r>
                      </w:hyperlink>
                    </w:p>
                  </w:txbxContent>
                </v:textbox>
                <w10:anchorlock/>
              </v:shape>
            </w:pict>
          </mc:Fallback>
        </mc:AlternateContent>
      </w:r>
    </w:p>
    <w:p w:rsidR="00603DA3" w:rsidRPr="009B3C33" w:rsidRDefault="00603DA3" w:rsidP="005E164B">
      <w:pPr>
        <w:spacing w:before="9"/>
        <w:rPr>
          <w:rFonts w:ascii="Calibri" w:eastAsia="Calibri" w:hAnsi="Calibri" w:cs="Calibri"/>
          <w:sz w:val="24"/>
          <w:szCs w:val="24"/>
          <w:lang w:val="de-CH"/>
        </w:rPr>
      </w:pPr>
    </w:p>
    <w:p w:rsidR="00603DA3" w:rsidRPr="009B3C33" w:rsidRDefault="00A05C45" w:rsidP="005E164B">
      <w:pPr>
        <w:spacing w:line="200" w:lineRule="atLeast"/>
        <w:rPr>
          <w:rFonts w:ascii="Calibri" w:eastAsia="Calibri" w:hAnsi="Calibri" w:cs="Calibri"/>
          <w:sz w:val="20"/>
          <w:szCs w:val="20"/>
          <w:lang w:val="de-CH"/>
        </w:rPr>
      </w:pPr>
      <w:r>
        <w:rPr>
          <w:rFonts w:ascii="Calibri" w:hAnsi="Calibri"/>
          <w:noProof/>
          <w:sz w:val="20"/>
          <w:szCs w:val="20"/>
          <w:lang w:val="de-CH" w:eastAsia="de-CH"/>
        </w:rPr>
        <mc:AlternateContent>
          <mc:Choice Requires="wps">
            <w:drawing>
              <wp:inline distT="0" distB="0" distL="0" distR="0">
                <wp:extent cx="5902325" cy="1893570"/>
                <wp:effectExtent l="10795" t="8890" r="1143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189357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3DA3" w:rsidRDefault="006B1FE5">
                            <w:pPr>
                              <w:spacing w:before="18"/>
                              <w:ind w:left="1748"/>
                              <w:rPr>
                                <w:rFonts w:ascii="Calibri" w:eastAsia="Calibri" w:hAnsi="Calibri" w:cs="Calibri"/>
                                <w:sz w:val="24"/>
                                <w:szCs w:val="24"/>
                              </w:rPr>
                            </w:pPr>
                            <w:r>
                              <w:rPr>
                                <w:rFonts w:ascii="Calibri"/>
                                <w:b/>
                                <w:color w:val="FF0000"/>
                                <w:sz w:val="24"/>
                                <w:u w:val="single" w:color="FF0000"/>
                              </w:rPr>
                              <w:t>Kontaktangaben für Fragen und Interview-Anfragen:</w:t>
                            </w:r>
                          </w:p>
                          <w:p w:rsidR="00603DA3" w:rsidRDefault="006B1FE5">
                            <w:pPr>
                              <w:spacing w:before="2"/>
                              <w:ind w:left="107" w:right="5782"/>
                              <w:rPr>
                                <w:rFonts w:ascii="Calibri" w:eastAsia="Calibri" w:hAnsi="Calibri" w:cs="Calibri"/>
                                <w:sz w:val="24"/>
                                <w:szCs w:val="24"/>
                              </w:rPr>
                            </w:pPr>
                            <w:r>
                              <w:rPr>
                                <w:rFonts w:ascii="Calibri" w:hAnsi="Calibri"/>
                                <w:color w:val="FF0000"/>
                                <w:sz w:val="24"/>
                              </w:rPr>
                              <w:t xml:space="preserve">Dr. Jan-Thorsten Gräsner, FERC </w:t>
                            </w:r>
                            <w:r w:rsidR="00ED242A" w:rsidRPr="00ED242A">
                              <w:rPr>
                                <w:rFonts w:ascii="Calibri" w:hAnsi="Calibri"/>
                                <w:color w:val="FF0000"/>
                                <w:sz w:val="24"/>
                              </w:rPr>
                              <w:t>Leitende</w:t>
                            </w:r>
                            <w:r w:rsidR="00ED242A">
                              <w:rPr>
                                <w:rFonts w:ascii="Calibri" w:hAnsi="Calibri"/>
                                <w:color w:val="FF0000"/>
                                <w:sz w:val="24"/>
                              </w:rPr>
                              <w:t>r</w:t>
                            </w:r>
                            <w:r w:rsidR="00ED242A" w:rsidRPr="00ED242A">
                              <w:rPr>
                                <w:rFonts w:ascii="Calibri" w:hAnsi="Calibri"/>
                                <w:color w:val="FF0000"/>
                                <w:sz w:val="24"/>
                              </w:rPr>
                              <w:t xml:space="preserve"> Prüfarzt </w:t>
                            </w:r>
                            <w:r>
                              <w:rPr>
                                <w:rFonts w:ascii="Calibri" w:hAnsi="Calibri"/>
                                <w:color w:val="FF0000"/>
                                <w:sz w:val="24"/>
                              </w:rPr>
                              <w:t>EuReCa TWO, Deutsches Reanimationsregister</w:t>
                            </w:r>
                          </w:p>
                          <w:p w:rsidR="00603DA3" w:rsidRDefault="006B1FE5">
                            <w:pPr>
                              <w:ind w:left="107" w:right="381"/>
                              <w:rPr>
                                <w:rFonts w:ascii="Calibri" w:eastAsia="Calibri" w:hAnsi="Calibri" w:cs="Calibri"/>
                                <w:sz w:val="24"/>
                                <w:szCs w:val="24"/>
                              </w:rPr>
                            </w:pPr>
                            <w:r>
                              <w:rPr>
                                <w:rFonts w:ascii="Calibri"/>
                                <w:color w:val="FF0000"/>
                                <w:sz w:val="24"/>
                              </w:rPr>
                              <w:t>Institut für Rettungs- und Notfallmedizin, Universitätsklinikum Schleswig-Holstein, Deutschland, Arnold-Heller-Str. 3, Gebäude 808</w:t>
                            </w:r>
                          </w:p>
                          <w:p w:rsidR="00603DA3" w:rsidRDefault="006B1FE5">
                            <w:pPr>
                              <w:ind w:left="107"/>
                              <w:rPr>
                                <w:rFonts w:ascii="Calibri" w:eastAsia="Calibri" w:hAnsi="Calibri" w:cs="Calibri"/>
                                <w:sz w:val="24"/>
                                <w:szCs w:val="24"/>
                              </w:rPr>
                            </w:pPr>
                            <w:r>
                              <w:rPr>
                                <w:rFonts w:ascii="Calibri"/>
                                <w:color w:val="FF0000"/>
                                <w:sz w:val="24"/>
                              </w:rPr>
                              <w:t>24105 Kiel, Deutschland</w:t>
                            </w:r>
                          </w:p>
                          <w:p w:rsidR="00603DA3" w:rsidRDefault="006B1FE5">
                            <w:pPr>
                              <w:ind w:left="107"/>
                              <w:rPr>
                                <w:rFonts w:ascii="Calibri" w:eastAsia="Calibri" w:hAnsi="Calibri" w:cs="Calibri"/>
                                <w:sz w:val="24"/>
                                <w:szCs w:val="24"/>
                              </w:rPr>
                            </w:pPr>
                            <w:r>
                              <w:rPr>
                                <w:rFonts w:ascii="Calibri"/>
                                <w:color w:val="FF0000"/>
                                <w:sz w:val="24"/>
                              </w:rPr>
                              <w:t>Telefon: +49 431 500 31501</w:t>
                            </w:r>
                          </w:p>
                          <w:p w:rsidR="00603DA3" w:rsidRDefault="006B1FE5">
                            <w:pPr>
                              <w:ind w:left="107"/>
                              <w:rPr>
                                <w:rFonts w:ascii="Calibri" w:eastAsia="Calibri" w:hAnsi="Calibri" w:cs="Calibri"/>
                                <w:sz w:val="24"/>
                                <w:szCs w:val="24"/>
                              </w:rPr>
                            </w:pPr>
                            <w:r>
                              <w:rPr>
                                <w:rFonts w:ascii="Calibri"/>
                                <w:color w:val="FF0000"/>
                                <w:sz w:val="24"/>
                              </w:rPr>
                              <w:t>Mobil: +49 172 2806241</w:t>
                            </w:r>
                          </w:p>
                          <w:p w:rsidR="00603DA3" w:rsidRDefault="006B1FE5">
                            <w:pPr>
                              <w:ind w:left="107"/>
                              <w:rPr>
                                <w:rFonts w:ascii="Calibri" w:eastAsia="Calibri" w:hAnsi="Calibri" w:cs="Calibri"/>
                                <w:sz w:val="24"/>
                                <w:szCs w:val="24"/>
                              </w:rPr>
                            </w:pPr>
                            <w:r>
                              <w:rPr>
                                <w:rFonts w:ascii="Calibri"/>
                                <w:color w:val="FF0000"/>
                                <w:sz w:val="24"/>
                              </w:rPr>
                              <w:t xml:space="preserve">E-Mail: </w:t>
                            </w:r>
                            <w:hyperlink r:id="rId10">
                              <w:r>
                                <w:rPr>
                                  <w:rFonts w:ascii="Calibri"/>
                                  <w:color w:val="0462C1"/>
                                  <w:sz w:val="24"/>
                                  <w:u w:val="single" w:color="0462C1"/>
                                </w:rPr>
                                <w:t xml:space="preserve">Graesner@eureca-two.eu </w:t>
                              </w:r>
                            </w:hyperlink>
                            <w:hyperlink r:id="rId11">
                              <w:r>
                                <w:rPr>
                                  <w:rFonts w:ascii="Calibri"/>
                                  <w:color w:val="0462C1"/>
                                  <w:sz w:val="24"/>
                                  <w:u w:val="single" w:color="0462C1"/>
                                </w:rPr>
                                <w:t>Jan-Thorsten.Graesner@uksh.de</w:t>
                              </w:r>
                            </w:hyperlink>
                          </w:p>
                        </w:txbxContent>
                      </wps:txbx>
                      <wps:bodyPr rot="0" vert="horz" wrap="square" lIns="0" tIns="0" rIns="0" bIns="0" anchor="t" anchorCtr="0" upright="1">
                        <a:noAutofit/>
                      </wps:bodyPr>
                    </wps:wsp>
                  </a:graphicData>
                </a:graphic>
              </wp:inline>
            </w:drawing>
          </mc:Choice>
          <mc:Fallback>
            <w:pict>
              <v:shape id="Text Box 2" o:spid="_x0000_s1027" type="#_x0000_t202" style="width:464.75pt;height:1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" filled="f" strokeweight=".58pt">
                <v:textbox inset="0,0,0,0">
                  <w:txbxContent>
                    <w:p w:rsidR="00603DA3" w:rsidRDefault="006B1FE5">
                      <w:pPr>
                        <w:spacing w:before="18"/>
                        <w:ind w:left="1748"/>
                        <w:rPr>
                          <w:rFonts w:ascii="Calibri" w:eastAsia="Calibri" w:hAnsi="Calibri" w:cs="Calibri"/>
                          <w:sz w:val="24"/>
                          <w:szCs w:val="24"/>
                        </w:rPr>
                      </w:pPr>
                      <w:r>
                        <w:rPr>
                          <w:rFonts w:ascii="Calibri"/>
                          <w:b/>
                          <w:color w:val="FF0000"/>
                          <w:sz w:val="24"/>
                          <w:u w:val="single" w:color="FF0000"/>
                        </w:rPr>
                        <w:t>Kontaktangaben für Fragen und Interview-Anfragen:</w:t>
                      </w:r>
                    </w:p>
                    <w:p w:rsidR="00603DA3" w:rsidRDefault="006B1FE5">
                      <w:pPr>
                        <w:spacing w:before="2"/>
                        <w:ind w:left="107" w:right="5782"/>
                        <w:rPr>
                          <w:rFonts w:ascii="Calibri" w:eastAsia="Calibri" w:hAnsi="Calibri" w:cs="Calibri"/>
                          <w:sz w:val="24"/>
                          <w:szCs w:val="24"/>
                        </w:rPr>
                      </w:pPr>
                      <w:r>
                        <w:rPr>
                          <w:rFonts w:ascii="Calibri" w:hAnsi="Calibri"/>
                          <w:color w:val="FF0000"/>
                          <w:sz w:val="24"/>
                        </w:rPr>
                        <w:t xml:space="preserve">Dr. Jan-Thorsten Gräsner, FERC </w:t>
                      </w:r>
                      <w:r w:rsidR="00ED242A" w:rsidRPr="00ED242A">
                        <w:rPr>
                          <w:rFonts w:ascii="Calibri" w:hAnsi="Calibri"/>
                          <w:color w:val="FF0000"/>
                          <w:sz w:val="24"/>
                        </w:rPr>
                        <w:t>Leitende</w:t>
                      </w:r>
                      <w:r w:rsidR="00ED242A">
                        <w:rPr>
                          <w:rFonts w:ascii="Calibri" w:hAnsi="Calibri"/>
                          <w:color w:val="FF0000"/>
                          <w:sz w:val="24"/>
                        </w:rPr>
                        <w:t>r</w:t>
                      </w:r>
                      <w:r w:rsidR="00ED242A" w:rsidRPr="00ED242A">
                        <w:rPr>
                          <w:rFonts w:ascii="Calibri" w:hAnsi="Calibri"/>
                          <w:color w:val="FF0000"/>
                          <w:sz w:val="24"/>
                        </w:rPr>
                        <w:t xml:space="preserve"> Prüfarzt </w:t>
                      </w:r>
                      <w:r>
                        <w:rPr>
                          <w:rFonts w:ascii="Calibri" w:hAnsi="Calibri"/>
                          <w:color w:val="FF0000"/>
                          <w:sz w:val="24"/>
                        </w:rPr>
                        <w:t>EuReCa TWO, Deutsches Reanimationsregister</w:t>
                      </w:r>
                    </w:p>
                    <w:p w:rsidR="00603DA3" w:rsidRDefault="006B1FE5">
                      <w:pPr>
                        <w:ind w:left="107" w:right="381"/>
                        <w:rPr>
                          <w:rFonts w:ascii="Calibri" w:eastAsia="Calibri" w:hAnsi="Calibri" w:cs="Calibri"/>
                          <w:sz w:val="24"/>
                          <w:szCs w:val="24"/>
                        </w:rPr>
                      </w:pPr>
                      <w:r>
                        <w:rPr>
                          <w:rFonts w:ascii="Calibri"/>
                          <w:color w:val="FF0000"/>
                          <w:sz w:val="24"/>
                        </w:rPr>
                        <w:t>Institut für Rettungs- und Notfallmedizin, Universitätsklinikum Schleswig-Holstein, Deutschland, Arnold-Heller-Str. 3, Gebäude 808</w:t>
                      </w:r>
                    </w:p>
                    <w:p w:rsidR="00603DA3" w:rsidRDefault="006B1FE5">
                      <w:pPr>
                        <w:ind w:left="107"/>
                        <w:rPr>
                          <w:rFonts w:ascii="Calibri" w:eastAsia="Calibri" w:hAnsi="Calibri" w:cs="Calibri"/>
                          <w:sz w:val="24"/>
                          <w:szCs w:val="24"/>
                        </w:rPr>
                      </w:pPr>
                      <w:r>
                        <w:rPr>
                          <w:rFonts w:ascii="Calibri"/>
                          <w:color w:val="FF0000"/>
                          <w:sz w:val="24"/>
                        </w:rPr>
                        <w:t>24105 Kiel, Deutschland</w:t>
                      </w:r>
                    </w:p>
                    <w:p w:rsidR="00603DA3" w:rsidRDefault="006B1FE5">
                      <w:pPr>
                        <w:ind w:left="107"/>
                        <w:rPr>
                          <w:rFonts w:ascii="Calibri" w:eastAsia="Calibri" w:hAnsi="Calibri" w:cs="Calibri"/>
                          <w:sz w:val="24"/>
                          <w:szCs w:val="24"/>
                        </w:rPr>
                      </w:pPr>
                      <w:r>
                        <w:rPr>
                          <w:rFonts w:ascii="Calibri"/>
                          <w:color w:val="FF0000"/>
                          <w:sz w:val="24"/>
                        </w:rPr>
                        <w:t>Telefon: +49 431 500 31501</w:t>
                      </w:r>
                    </w:p>
                    <w:p w:rsidR="00603DA3" w:rsidRDefault="006B1FE5">
                      <w:pPr>
                        <w:ind w:left="107"/>
                        <w:rPr>
                          <w:rFonts w:ascii="Calibri" w:eastAsia="Calibri" w:hAnsi="Calibri" w:cs="Calibri"/>
                          <w:sz w:val="24"/>
                          <w:szCs w:val="24"/>
                        </w:rPr>
                      </w:pPr>
                      <w:r>
                        <w:rPr>
                          <w:rFonts w:ascii="Calibri"/>
                          <w:color w:val="FF0000"/>
                          <w:sz w:val="24"/>
                        </w:rPr>
                        <w:t>Mobil: +49 172 2806241</w:t>
                      </w:r>
                    </w:p>
                    <w:p w:rsidR="00603DA3" w:rsidRDefault="006B1FE5">
                      <w:pPr>
                        <w:ind w:left="107"/>
                        <w:rPr>
                          <w:rFonts w:ascii="Calibri" w:eastAsia="Calibri" w:hAnsi="Calibri" w:cs="Calibri"/>
                          <w:sz w:val="24"/>
                          <w:szCs w:val="24"/>
                        </w:rPr>
                      </w:pPr>
                      <w:r>
                        <w:rPr>
                          <w:rFonts w:ascii="Calibri"/>
                          <w:color w:val="FF0000"/>
                          <w:sz w:val="24"/>
                        </w:rPr>
                        <w:t xml:space="preserve">E-Mail: </w:t>
                      </w:r>
                      <w:hyperlink r:id="rId12">
                        <w:r>
                          <w:rPr>
                            <w:rFonts w:ascii="Calibri"/>
                            <w:color w:val="0462C1"/>
                            <w:sz w:val="24"/>
                            <w:u w:val="single" w:color="0462C1"/>
                          </w:rPr>
                          <w:t xml:space="preserve">Graesner@eureca-two.eu </w:t>
                        </w:r>
                      </w:hyperlink>
                      <w:hyperlink r:id="rId13">
                        <w:r>
                          <w:rPr>
                            <w:rFonts w:ascii="Calibri"/>
                            <w:color w:val="0462C1"/>
                            <w:sz w:val="24"/>
                            <w:u w:val="single" w:color="0462C1"/>
                          </w:rPr>
                          <w:t>Jan-Thorsten.Graesner@uksh.de</w:t>
                        </w:r>
                      </w:hyperlink>
                    </w:p>
                  </w:txbxContent>
                </v:textbox>
                <w10:anchorlock/>
              </v:shape>
            </w:pict>
          </mc:Fallback>
        </mc:AlternateContent>
      </w:r>
    </w:p>
    <w:sectPr w:rsidR="00603DA3" w:rsidRPr="009B3C33" w:rsidSect="00DB19E6">
      <w:pgSz w:w="11900" w:h="16850"/>
      <w:pgMar w:top="1378" w:right="1202" w:bottom="794" w:left="120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EAA" w:rsidRDefault="00FF0EAA" w:rsidP="00FF0EAA">
      <w:r>
        <w:separator/>
      </w:r>
    </w:p>
  </w:endnote>
  <w:endnote w:type="continuationSeparator" w:id="0">
    <w:p w:rsidR="00FF0EAA" w:rsidRDefault="00FF0EAA" w:rsidP="00FF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EAA" w:rsidRDefault="00FF0EAA" w:rsidP="00FF0EAA">
      <w:r>
        <w:separator/>
      </w:r>
    </w:p>
  </w:footnote>
  <w:footnote w:type="continuationSeparator" w:id="0">
    <w:p w:rsidR="00FF0EAA" w:rsidRDefault="00FF0EAA" w:rsidP="00FF0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A3"/>
    <w:rsid w:val="000503C9"/>
    <w:rsid w:val="00064369"/>
    <w:rsid w:val="00105BFF"/>
    <w:rsid w:val="001365BF"/>
    <w:rsid w:val="0020106E"/>
    <w:rsid w:val="00251D32"/>
    <w:rsid w:val="0027026F"/>
    <w:rsid w:val="002910A1"/>
    <w:rsid w:val="00381130"/>
    <w:rsid w:val="003B4178"/>
    <w:rsid w:val="004550F4"/>
    <w:rsid w:val="004A0478"/>
    <w:rsid w:val="004F091E"/>
    <w:rsid w:val="004F6C03"/>
    <w:rsid w:val="005474F0"/>
    <w:rsid w:val="00551FFD"/>
    <w:rsid w:val="005B482B"/>
    <w:rsid w:val="005E164B"/>
    <w:rsid w:val="00603DA3"/>
    <w:rsid w:val="00610D9E"/>
    <w:rsid w:val="006B1FE5"/>
    <w:rsid w:val="007150A2"/>
    <w:rsid w:val="007472DE"/>
    <w:rsid w:val="00892054"/>
    <w:rsid w:val="00955365"/>
    <w:rsid w:val="009B3C33"/>
    <w:rsid w:val="00A05C45"/>
    <w:rsid w:val="00C05539"/>
    <w:rsid w:val="00C968B6"/>
    <w:rsid w:val="00DB19E6"/>
    <w:rsid w:val="00E821EA"/>
    <w:rsid w:val="00ED242A"/>
    <w:rsid w:val="00FF0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603D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603DA3"/>
    <w:tblPr>
      <w:tblInd w:w="0" w:type="dxa"/>
      <w:tblCellMar>
        <w:top w:w="0" w:type="dxa"/>
        <w:left w:w="0" w:type="dxa"/>
        <w:bottom w:w="0" w:type="dxa"/>
        <w:right w:w="0" w:type="dxa"/>
      </w:tblCellMar>
    </w:tblPr>
  </w:style>
  <w:style w:type="paragraph" w:styleId="Textkrper">
    <w:name w:val="Body Text"/>
    <w:basedOn w:val="Standard"/>
    <w:uiPriority w:val="1"/>
    <w:qFormat/>
    <w:rsid w:val="00603DA3"/>
    <w:pPr>
      <w:ind w:left="116"/>
    </w:pPr>
    <w:rPr>
      <w:rFonts w:ascii="Calibri" w:eastAsia="Calibri" w:hAnsi="Calibri"/>
      <w:sz w:val="24"/>
      <w:szCs w:val="24"/>
    </w:rPr>
  </w:style>
  <w:style w:type="paragraph" w:styleId="Listenabsatz">
    <w:name w:val="List Paragraph"/>
    <w:basedOn w:val="Standard"/>
    <w:uiPriority w:val="1"/>
    <w:qFormat/>
    <w:rsid w:val="00603DA3"/>
  </w:style>
  <w:style w:type="paragraph" w:customStyle="1" w:styleId="TableParagraph">
    <w:name w:val="Table Paragraph"/>
    <w:basedOn w:val="Standard"/>
    <w:uiPriority w:val="1"/>
    <w:qFormat/>
    <w:rsid w:val="00603DA3"/>
  </w:style>
  <w:style w:type="paragraph" w:styleId="Sprechblasentext">
    <w:name w:val="Balloon Text"/>
    <w:basedOn w:val="Standard"/>
    <w:link w:val="SprechblasentextZchn"/>
    <w:uiPriority w:val="99"/>
    <w:semiHidden/>
    <w:unhideWhenUsed/>
    <w:rsid w:val="00105B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5BFF"/>
    <w:rPr>
      <w:rFonts w:ascii="Tahoma" w:hAnsi="Tahoma" w:cs="Tahoma"/>
      <w:sz w:val="16"/>
      <w:szCs w:val="16"/>
    </w:rPr>
  </w:style>
  <w:style w:type="character" w:styleId="Kommentarzeichen">
    <w:name w:val="annotation reference"/>
    <w:basedOn w:val="Absatz-Standardschriftart"/>
    <w:uiPriority w:val="99"/>
    <w:semiHidden/>
    <w:unhideWhenUsed/>
    <w:rsid w:val="004A0478"/>
    <w:rPr>
      <w:sz w:val="16"/>
      <w:szCs w:val="16"/>
    </w:rPr>
  </w:style>
  <w:style w:type="paragraph" w:styleId="Kommentartext">
    <w:name w:val="annotation text"/>
    <w:basedOn w:val="Standard"/>
    <w:link w:val="KommentartextZchn"/>
    <w:uiPriority w:val="99"/>
    <w:semiHidden/>
    <w:unhideWhenUsed/>
    <w:rsid w:val="004A0478"/>
    <w:rPr>
      <w:sz w:val="20"/>
      <w:szCs w:val="20"/>
    </w:rPr>
  </w:style>
  <w:style w:type="character" w:customStyle="1" w:styleId="KommentartextZchn">
    <w:name w:val="Kommentartext Zchn"/>
    <w:basedOn w:val="Absatz-Standardschriftart"/>
    <w:link w:val="Kommentartext"/>
    <w:uiPriority w:val="99"/>
    <w:semiHidden/>
    <w:rsid w:val="004A0478"/>
    <w:rPr>
      <w:sz w:val="20"/>
      <w:szCs w:val="20"/>
    </w:rPr>
  </w:style>
  <w:style w:type="paragraph" w:styleId="Kommentarthema">
    <w:name w:val="annotation subject"/>
    <w:basedOn w:val="Kommentartext"/>
    <w:next w:val="Kommentartext"/>
    <w:link w:val="KommentarthemaZchn"/>
    <w:uiPriority w:val="99"/>
    <w:semiHidden/>
    <w:unhideWhenUsed/>
    <w:rsid w:val="004A0478"/>
    <w:rPr>
      <w:b/>
      <w:bCs/>
    </w:rPr>
  </w:style>
  <w:style w:type="character" w:customStyle="1" w:styleId="KommentarthemaZchn">
    <w:name w:val="Kommentarthema Zchn"/>
    <w:basedOn w:val="KommentartextZchn"/>
    <w:link w:val="Kommentarthema"/>
    <w:uiPriority w:val="99"/>
    <w:semiHidden/>
    <w:rsid w:val="004A0478"/>
    <w:rPr>
      <w:b/>
      <w:bCs/>
      <w:sz w:val="20"/>
      <w:szCs w:val="20"/>
    </w:rPr>
  </w:style>
  <w:style w:type="character" w:styleId="Hyperlink">
    <w:name w:val="Hyperlink"/>
    <w:basedOn w:val="Absatz-Standardschriftart"/>
    <w:uiPriority w:val="99"/>
    <w:unhideWhenUsed/>
    <w:rsid w:val="004550F4"/>
    <w:rPr>
      <w:color w:val="0000FF" w:themeColor="hyperlink"/>
      <w:u w:val="single"/>
    </w:rPr>
  </w:style>
  <w:style w:type="paragraph" w:styleId="Kopfzeile">
    <w:name w:val="header"/>
    <w:basedOn w:val="Standard"/>
    <w:link w:val="KopfzeileZchn"/>
    <w:uiPriority w:val="99"/>
    <w:unhideWhenUsed/>
    <w:rsid w:val="00FF0EAA"/>
    <w:pPr>
      <w:tabs>
        <w:tab w:val="center" w:pos="4536"/>
        <w:tab w:val="right" w:pos="9072"/>
      </w:tabs>
    </w:pPr>
  </w:style>
  <w:style w:type="character" w:customStyle="1" w:styleId="KopfzeileZchn">
    <w:name w:val="Kopfzeile Zchn"/>
    <w:basedOn w:val="Absatz-Standardschriftart"/>
    <w:link w:val="Kopfzeile"/>
    <w:uiPriority w:val="99"/>
    <w:rsid w:val="00FF0EAA"/>
  </w:style>
  <w:style w:type="paragraph" w:styleId="Fuzeile">
    <w:name w:val="footer"/>
    <w:basedOn w:val="Standard"/>
    <w:link w:val="FuzeileZchn"/>
    <w:uiPriority w:val="99"/>
    <w:unhideWhenUsed/>
    <w:rsid w:val="00FF0EAA"/>
    <w:pPr>
      <w:tabs>
        <w:tab w:val="center" w:pos="4536"/>
        <w:tab w:val="right" w:pos="9072"/>
      </w:tabs>
    </w:pPr>
  </w:style>
  <w:style w:type="character" w:customStyle="1" w:styleId="FuzeileZchn">
    <w:name w:val="Fußzeile Zchn"/>
    <w:basedOn w:val="Absatz-Standardschriftart"/>
    <w:link w:val="Fuzeile"/>
    <w:uiPriority w:val="99"/>
    <w:rsid w:val="00FF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ureca-two.eu/" TargetMode="External"/><Relationship Id="rId13" Type="http://schemas.openxmlformats.org/officeDocument/2006/relationships/hyperlink" Target="mailto:Jan-Thorsten.Graesner@uksh.d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Graesner@eureca-two.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an-Thorsten.Graesner@uksh.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Graesner@eureca-two.eu" TargetMode="External"/><Relationship Id="rId4" Type="http://schemas.openxmlformats.org/officeDocument/2006/relationships/footnotes" Target="footnotes.xml"/><Relationship Id="rId9" Type="http://schemas.openxmlformats.org/officeDocument/2006/relationships/hyperlink" Target="http://www.eureca-two.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2017-10-25T13:27:00Z</dcterms:created>
  <dcterms:modified xsi:type="dcterms:W3CDTF">2017-10-25T13:50:00Z</dcterms:modified>
</cp:coreProperties>
</file>